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04" w:rsidRPr="00527F04" w:rsidRDefault="00527F04" w:rsidP="00527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F04">
        <w:rPr>
          <w:rFonts w:ascii="Times New Roman" w:hAnsi="Times New Roman" w:cs="Times New Roman"/>
          <w:sz w:val="24"/>
          <w:szCs w:val="24"/>
        </w:rPr>
        <w:t>КРАСНОЯРСКИЙ КРАЙ САЯНСКИЙ РАЙОН</w:t>
      </w:r>
    </w:p>
    <w:p w:rsidR="00527F04" w:rsidRPr="00527F04" w:rsidRDefault="000C1C1F" w:rsidP="00527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УНЕРСКИЙ</w:t>
      </w:r>
      <w:r w:rsidR="00527F04" w:rsidRPr="00527F04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:rsidR="00527F04" w:rsidRPr="00527F04" w:rsidRDefault="00527F04" w:rsidP="00527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F04" w:rsidRPr="00527F04" w:rsidRDefault="00527F04" w:rsidP="00527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F04">
        <w:rPr>
          <w:rFonts w:ascii="Times New Roman" w:hAnsi="Times New Roman" w:cs="Times New Roman"/>
          <w:sz w:val="24"/>
          <w:szCs w:val="24"/>
        </w:rPr>
        <w:t>РЕШЕНИЕ</w:t>
      </w:r>
    </w:p>
    <w:p w:rsidR="00527F04" w:rsidRPr="00527F04" w:rsidRDefault="00527F04" w:rsidP="00527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F04" w:rsidRPr="00527F04" w:rsidRDefault="00527F04" w:rsidP="00527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F04" w:rsidRPr="00527F04" w:rsidRDefault="0033379A" w:rsidP="00527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05.05</w:t>
      </w:r>
      <w:r w:rsidR="00527F04" w:rsidRPr="00527F04">
        <w:rPr>
          <w:rFonts w:ascii="Times New Roman" w:hAnsi="Times New Roman" w:cs="Times New Roman"/>
          <w:sz w:val="24"/>
          <w:szCs w:val="24"/>
        </w:rPr>
        <w:t>.</w:t>
      </w:r>
      <w:r w:rsidR="00B3133B">
        <w:rPr>
          <w:rFonts w:ascii="Times New Roman" w:hAnsi="Times New Roman" w:cs="Times New Roman"/>
          <w:sz w:val="24"/>
          <w:szCs w:val="24"/>
        </w:rPr>
        <w:t>2023</w:t>
      </w:r>
      <w:r w:rsidR="00527F04" w:rsidRPr="00527F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C1C1F">
        <w:rPr>
          <w:rFonts w:ascii="Times New Roman" w:hAnsi="Times New Roman" w:cs="Times New Roman"/>
          <w:sz w:val="24"/>
          <w:szCs w:val="24"/>
        </w:rPr>
        <w:t xml:space="preserve">                     с. Унер</w:t>
      </w:r>
      <w:r w:rsidR="00527F04" w:rsidRPr="00527F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1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78</w:t>
      </w:r>
    </w:p>
    <w:p w:rsidR="00527F04" w:rsidRPr="00EC1CF2" w:rsidRDefault="00527F04" w:rsidP="00527F04">
      <w:pPr>
        <w:jc w:val="center"/>
        <w:rPr>
          <w:sz w:val="24"/>
          <w:szCs w:val="24"/>
        </w:rPr>
      </w:pP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527F04" w:rsidRDefault="00527F04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</w:t>
      </w:r>
      <w:r w:rsidR="009A553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Е ВЫРУБКИ (СНОСА) ЗЕЛЕНЫХ НАСАЖДЕНИЙ НА ЗЕМ</w:t>
      </w:r>
      <w:r w:rsidR="005B3D6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ЕЛЬНЫХ УЧАСТКАХ, НАХОДЯЩИ</w:t>
      </w:r>
      <w:r w:rsidR="000C1C1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ХСЯ В СОБСТВЕННОСТИ УНЕРСКОГО</w:t>
      </w:r>
      <w:r w:rsidR="005B3D6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СЕЛЬСОВЕТА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5B3D62" w:rsidRPr="0066416C" w:rsidRDefault="00134898" w:rsidP="0013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</w:t>
      </w:r>
      <w:r w:rsidRP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0C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</w:t>
      </w:r>
      <w:r w:rsidR="005B3D62" w:rsidRP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6422E3" w:rsidRP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5B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8" w:tgtFrame="_blank" w:history="1">
        <w:r w:rsidRPr="005B3D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</w:t>
      </w:r>
      <w:r w:rsidR="008A3D50" w:rsidRPr="00664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 Федерального закона от 06.10.2003</w:t>
      </w:r>
      <w:r w:rsidR="005B3D62" w:rsidRPr="0066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 w:rsidRPr="0066416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</w:t>
      </w:r>
      <w:r w:rsidR="005B3D62" w:rsidRPr="0066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 w:rsidRPr="00664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</w:t>
      </w:r>
      <w:r w:rsidR="006422E3" w:rsidRPr="0066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62" w:rsidRPr="0066416C">
        <w:rPr>
          <w:rFonts w:ascii="Times New Roman" w:hAnsi="Times New Roman" w:cs="Times New Roman"/>
          <w:sz w:val="28"/>
          <w:szCs w:val="28"/>
        </w:rPr>
        <w:t>руководствуясь Уставом муници</w:t>
      </w:r>
      <w:r w:rsidR="000C1C1F">
        <w:rPr>
          <w:rFonts w:ascii="Times New Roman" w:hAnsi="Times New Roman" w:cs="Times New Roman"/>
          <w:sz w:val="28"/>
          <w:szCs w:val="28"/>
        </w:rPr>
        <w:t>пального образования Унерский сельсовет, Унерский</w:t>
      </w:r>
      <w:r w:rsidR="005B3D62" w:rsidRPr="0066416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5B3D62" w:rsidRPr="0066416C" w:rsidRDefault="005B3D62" w:rsidP="005B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62" w:rsidRPr="0066416C" w:rsidRDefault="005B3D62" w:rsidP="005B3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6C">
        <w:rPr>
          <w:rFonts w:ascii="Times New Roman" w:hAnsi="Times New Roman" w:cs="Times New Roman"/>
          <w:sz w:val="28"/>
          <w:szCs w:val="28"/>
        </w:rPr>
        <w:t>РЕШИЛ:</w:t>
      </w:r>
    </w:p>
    <w:p w:rsidR="00134898" w:rsidRPr="0066416C" w:rsidRDefault="00134898" w:rsidP="005B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66416C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B3D62" w:rsidRPr="0066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66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66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66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66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 w:rsidRPr="0066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66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0C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</w:t>
      </w:r>
      <w:r w:rsidR="005B3D62" w:rsidRPr="0066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96DC4" w:rsidRPr="0066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3D62" w:rsidRPr="0066416C" w:rsidRDefault="005B3D62" w:rsidP="00A936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416C">
        <w:rPr>
          <w:rFonts w:ascii="Times New Roman" w:hAnsi="Times New Roman"/>
          <w:sz w:val="28"/>
          <w:szCs w:val="28"/>
        </w:rPr>
        <w:t>2. Контроль за исполнением настоящего решения оставляю за собой.</w:t>
      </w:r>
    </w:p>
    <w:p w:rsidR="005B3D62" w:rsidRPr="0066416C" w:rsidRDefault="005B3D62" w:rsidP="00A936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416C">
        <w:rPr>
          <w:rFonts w:ascii="Times New Roman" w:hAnsi="Times New Roman"/>
          <w:sz w:val="28"/>
          <w:szCs w:val="28"/>
        </w:rPr>
        <w:t>3. Настоящее решение вступает в силу со дня, следующего за днем официального опубликования в</w:t>
      </w:r>
      <w:r w:rsidR="000C1C1F">
        <w:rPr>
          <w:rFonts w:ascii="Times New Roman" w:hAnsi="Times New Roman"/>
          <w:sz w:val="28"/>
          <w:szCs w:val="28"/>
        </w:rPr>
        <w:t xml:space="preserve"> местной газете «Сельский вестник» Унерского</w:t>
      </w:r>
      <w:r w:rsidRPr="0066416C">
        <w:rPr>
          <w:rFonts w:ascii="Times New Roman" w:hAnsi="Times New Roman"/>
          <w:sz w:val="28"/>
          <w:szCs w:val="28"/>
        </w:rPr>
        <w:t xml:space="preserve"> сельсовета, подлежит размещению на офиц</w:t>
      </w:r>
      <w:r w:rsidR="000C1C1F">
        <w:rPr>
          <w:rFonts w:ascii="Times New Roman" w:hAnsi="Times New Roman"/>
          <w:sz w:val="28"/>
          <w:szCs w:val="28"/>
        </w:rPr>
        <w:t>иальном сайте  администрации Унерского сельсовета</w:t>
      </w:r>
      <w:r w:rsidRPr="0066416C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Интернет.</w:t>
      </w:r>
    </w:p>
    <w:p w:rsidR="005B3D62" w:rsidRPr="0066416C" w:rsidRDefault="005B3D62" w:rsidP="00A93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D62" w:rsidRPr="0066416C" w:rsidRDefault="005B3D62" w:rsidP="005B3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D62" w:rsidRPr="0066416C" w:rsidRDefault="005B3D62" w:rsidP="005B3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0DB" w:rsidRPr="000500DB" w:rsidRDefault="000500DB" w:rsidP="000500DB">
      <w:pPr>
        <w:pStyle w:val="51"/>
        <w:shd w:val="clear" w:color="auto" w:fill="auto"/>
        <w:tabs>
          <w:tab w:val="left" w:pos="7191"/>
        </w:tabs>
        <w:spacing w:line="240" w:lineRule="auto"/>
        <w:ind w:left="20"/>
        <w:rPr>
          <w:rStyle w:val="52"/>
        </w:rPr>
      </w:pPr>
      <w:r w:rsidRPr="000500DB">
        <w:rPr>
          <w:rStyle w:val="52"/>
        </w:rPr>
        <w:t xml:space="preserve">Председатель  Совета депутатов                    </w:t>
      </w:r>
      <w:r w:rsidRPr="000500DB">
        <w:rPr>
          <w:rStyle w:val="510"/>
        </w:rPr>
        <w:t>Глава  муниципального</w:t>
      </w:r>
    </w:p>
    <w:p w:rsidR="000500DB" w:rsidRPr="000500DB" w:rsidRDefault="000500DB" w:rsidP="000500DB">
      <w:pPr>
        <w:pStyle w:val="51"/>
        <w:shd w:val="clear" w:color="auto" w:fill="auto"/>
        <w:tabs>
          <w:tab w:val="left" w:pos="7191"/>
        </w:tabs>
        <w:spacing w:line="240" w:lineRule="auto"/>
        <w:ind w:left="20"/>
        <w:rPr>
          <w:rFonts w:ascii="Calibri" w:hAnsi="Calibri"/>
          <w:i w:val="0"/>
        </w:rPr>
      </w:pPr>
      <w:r w:rsidRPr="000500DB">
        <w:rPr>
          <w:rStyle w:val="52"/>
        </w:rPr>
        <w:t xml:space="preserve">Унерского   сельского Совета                образования </w:t>
      </w:r>
      <w:r w:rsidRPr="000500DB">
        <w:rPr>
          <w:rStyle w:val="510"/>
        </w:rPr>
        <w:t xml:space="preserve">Унерского сельсовета                                                                           </w:t>
      </w:r>
      <w:r w:rsidRPr="000500DB">
        <w:rPr>
          <w:rStyle w:val="52"/>
        </w:rPr>
        <w:t xml:space="preserve">    </w:t>
      </w:r>
    </w:p>
    <w:p w:rsidR="000500DB" w:rsidRPr="000500DB" w:rsidRDefault="000500DB" w:rsidP="000500DB">
      <w:pPr>
        <w:jc w:val="both"/>
        <w:rPr>
          <w:rFonts w:ascii="Arial" w:hAnsi="Arial" w:cs="Arial"/>
        </w:rPr>
      </w:pPr>
      <w:r w:rsidRPr="000500DB">
        <w:rPr>
          <w:rStyle w:val="510"/>
          <w:i w:val="0"/>
        </w:rPr>
        <w:t xml:space="preserve">                      Н.В.Полякова                                       М.А.Гаммершмидт</w:t>
      </w:r>
    </w:p>
    <w:p w:rsidR="000500DB" w:rsidRPr="000500DB" w:rsidRDefault="000500DB" w:rsidP="000500DB">
      <w:pPr>
        <w:jc w:val="both"/>
        <w:rPr>
          <w:rFonts w:ascii="Arial" w:hAnsi="Arial" w:cs="Arial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4D3" w:rsidRDefault="000534D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4D3" w:rsidRDefault="000534D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4D3" w:rsidRDefault="000534D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4D3" w:rsidRDefault="000534D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33B" w:rsidRDefault="00B3133B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D62" w:rsidRDefault="005B3D62" w:rsidP="005B3D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D62" w:rsidRPr="005B3D62" w:rsidRDefault="005B3D62" w:rsidP="005B3D62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</w:rPr>
      </w:pPr>
      <w:r w:rsidRPr="005B3D62">
        <w:rPr>
          <w:rFonts w:ascii="Times New Roman" w:eastAsia="Batang" w:hAnsi="Times New Roman"/>
          <w:sz w:val="24"/>
          <w:szCs w:val="24"/>
        </w:rPr>
        <w:t>Приложение 1</w:t>
      </w:r>
    </w:p>
    <w:p w:rsidR="005B3D62" w:rsidRPr="005B3D62" w:rsidRDefault="000534D3" w:rsidP="005B3D62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к решению Унерского</w:t>
      </w:r>
      <w:r w:rsidR="005B3D62" w:rsidRPr="005B3D62">
        <w:rPr>
          <w:rFonts w:ascii="Times New Roman" w:eastAsia="Batang" w:hAnsi="Times New Roman"/>
          <w:sz w:val="24"/>
          <w:szCs w:val="24"/>
        </w:rPr>
        <w:t xml:space="preserve"> сельского</w:t>
      </w:r>
    </w:p>
    <w:p w:rsidR="005B3D62" w:rsidRPr="005B3D62" w:rsidRDefault="005B3D62" w:rsidP="005B3D62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</w:rPr>
      </w:pPr>
      <w:r w:rsidRPr="005B3D62">
        <w:rPr>
          <w:rFonts w:ascii="Times New Roman" w:eastAsia="Batang" w:hAnsi="Times New Roman"/>
          <w:sz w:val="24"/>
          <w:szCs w:val="24"/>
        </w:rPr>
        <w:t>Совета депутатов</w:t>
      </w:r>
    </w:p>
    <w:p w:rsidR="005B3D62" w:rsidRPr="005B3D62" w:rsidRDefault="0033379A" w:rsidP="005B3D62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от 05.05</w:t>
      </w:r>
      <w:r w:rsidR="005B3D62" w:rsidRPr="005B3D62">
        <w:rPr>
          <w:rFonts w:ascii="Times New Roman" w:eastAsia="Batang" w:hAnsi="Times New Roman"/>
          <w:sz w:val="24"/>
          <w:szCs w:val="24"/>
        </w:rPr>
        <w:t>.20</w:t>
      </w:r>
      <w:r w:rsidR="00B3133B">
        <w:rPr>
          <w:rFonts w:ascii="Times New Roman" w:eastAsia="Batang" w:hAnsi="Times New Roman"/>
          <w:sz w:val="24"/>
          <w:szCs w:val="24"/>
        </w:rPr>
        <w:t>23</w:t>
      </w:r>
      <w:r w:rsidR="005B3D62" w:rsidRPr="005B3D62">
        <w:rPr>
          <w:rFonts w:ascii="Times New Roman" w:eastAsia="Batang" w:hAnsi="Times New Roman"/>
          <w:sz w:val="24"/>
          <w:szCs w:val="24"/>
        </w:rPr>
        <w:t xml:space="preserve"> № </w:t>
      </w:r>
      <w:r w:rsidR="00161BCF">
        <w:rPr>
          <w:rFonts w:ascii="Times New Roman" w:eastAsia="Batang" w:hAnsi="Times New Roman"/>
          <w:sz w:val="24"/>
          <w:szCs w:val="24"/>
        </w:rPr>
        <w:t>75</w:t>
      </w:r>
    </w:p>
    <w:p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404F95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</w:t>
      </w:r>
      <w:r w:rsidRPr="005B3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находящихся в собственности </w:t>
      </w:r>
      <w:r w:rsidR="00053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Унерского</w:t>
      </w:r>
      <w:r w:rsidR="005B3D62" w:rsidRPr="005B3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5B3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05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</w:t>
      </w:r>
      <w:r w:rsidR="005B3D62" w:rsidRP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B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вырубкой (сносом) зеленых насаждений понимаются процессы их валки (в том числе спиливания, срубания, срезания, то есть отделение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различными способами ствола дерева, стебля кустарника и лианы от корня),</w:t>
      </w:r>
      <w:r w:rsid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F7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лесотаксовый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5B3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Гладковского сельсовета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5B3D62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215C38"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ПРИНЦИПЫ ОХРАНЫ, ЗАЩИТЫ</w:t>
      </w: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Хозяйственная и иная деятельность на </w:t>
      </w:r>
      <w:r w:rsidRP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05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</w:t>
      </w:r>
      <w:r w:rsidR="005B3D62" w:rsidRP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требований</w:t>
      </w:r>
      <w:r w:rsidR="005B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3E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</w:t>
      </w:r>
      <w:r w:rsidR="003E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3E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E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3E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3E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E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05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</w:t>
      </w:r>
      <w:r w:rsidR="0009659E" w:rsidRP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проектов культур</w:t>
      </w:r>
      <w:r w:rsidR="0005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мероприятий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-строительства новых объектов жилищного назначения, промышленных и общественных зданий, линейных объектов;</w:t>
      </w:r>
    </w:p>
    <w:p w:rsidR="003E1D46" w:rsidRPr="00404F95" w:rsidRDefault="0009659E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существующих объектов различного функционального назначения;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-производства плановых работ по прокладке (перекладке) инженерных коммуникаций, линейных объектов;</w:t>
      </w:r>
    </w:p>
    <w:p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0534D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Унерского</w:t>
      </w:r>
      <w:r w:rsidR="000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09659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</w:t>
      </w:r>
      <w:r w:rsidR="00B06676" w:rsidRP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вырубка (снос) зеленых насаждений, не находится в собственности </w:t>
      </w:r>
      <w:r w:rsidR="0005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</w:t>
      </w:r>
      <w:r w:rsidR="0009659E" w:rsidRP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96DC4" w:rsidRP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7A22" w:rsidRPr="000965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в простой письменной форме.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B3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.9.Специалисты,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05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0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0534D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Унерского</w:t>
      </w:r>
      <w:r w:rsidR="000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.13.Средства от указанного платежа направляются в</w:t>
      </w:r>
      <w:r w:rsidR="00342908" w:rsidRP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 w:rsidRP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</w:t>
      </w:r>
      <w:r w:rsidR="0009659E" w:rsidRP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0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.16.2.Уничтожение или повреждение деревьев и кустарников</w:t>
      </w:r>
      <w:r w:rsidR="000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.16.3.Окольцовка ствола или подсечка;</w:t>
      </w:r>
    </w:p>
    <w:p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.Прочие повреждения растущих деревьев и кустарников.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0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0534D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Унерского</w:t>
      </w:r>
      <w:r w:rsidR="000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0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96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Default="0009659E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E34588"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="00E34588"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34588"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см.и исчислять по ставкам за единицу объёма лесных ресурсов.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4.7.Применить корректирующие коэффициенты к ставкам:</w:t>
      </w:r>
    </w:p>
    <w:p w:rsidR="0089204C" w:rsidRPr="00C53EB0" w:rsidRDefault="0009659E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204C"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 – коэффициент 2,62;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-2023 год – коэффициент 2,72;</w:t>
      </w:r>
    </w:p>
    <w:p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-2024 год – коэффициент 2,82.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4.8.При расчете компенсационной стоимости использовать формулу: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5) * КК (корректирующий коэффициент)</w:t>
      </w:r>
    </w:p>
    <w:p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4.9.При расчете ущерба использовать формулу:</w:t>
      </w:r>
    </w:p>
    <w:p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5) * КК (корректирующий коэффициент) * ЗК (зимний коэффициент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59E" w:rsidRDefault="0009659E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59E" w:rsidRDefault="0009659E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59E" w:rsidRDefault="0009659E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59E" w:rsidRDefault="0009659E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59E" w:rsidRDefault="0009659E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59E" w:rsidRDefault="0009659E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59E" w:rsidRDefault="0009659E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59E" w:rsidRDefault="0009659E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</w:t>
      </w:r>
      <w:r w:rsidRPr="0084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</w:t>
      </w:r>
      <w:r w:rsidR="0005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</w:t>
      </w:r>
      <w:r w:rsidR="008408B2" w:rsidRPr="0084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84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="0084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84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84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Default="000500D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0500DB" w:rsidRPr="00404F95" w:rsidRDefault="000500D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 сельсовета                                              М.А.Гаммершмидт</w:t>
      </w: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Приложение № 2</w:t>
      </w: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</w:t>
      </w:r>
      <w:r w:rsidRPr="008408B2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собственности </w:t>
      </w:r>
      <w:r w:rsidR="0005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</w:t>
      </w:r>
      <w:r w:rsidR="008408B2" w:rsidRPr="0084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8408B2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408B2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Главе </w:t>
      </w:r>
      <w:r w:rsidR="0005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</w:t>
      </w:r>
      <w:r w:rsidR="008408B2" w:rsidRPr="0084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0500D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УНЕРСКОГО</w:t>
      </w:r>
      <w:r w:rsidR="008408B2" w:rsidRPr="008408B2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СЕЛЬСОВЕТА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</w:t>
      </w:r>
      <w:r w:rsidR="008408B2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1.Схема размещения земельного участка на кадастровом плане территории.</w:t>
      </w:r>
    </w:p>
    <w:p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.Иные документы в соответствии с п. 3.5 и 3.6 Положения.</w:t>
      </w: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8B2" w:rsidRDefault="008408B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8B2" w:rsidRDefault="008408B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</w:t>
      </w:r>
      <w:r w:rsidRPr="0084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</w:t>
      </w:r>
      <w:r w:rsidR="0005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</w:t>
      </w:r>
      <w:r w:rsidR="008408B2" w:rsidRPr="0084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E45237" w:rsidRPr="008408B2" w:rsidRDefault="000500DB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УНЕРСКОГО</w:t>
      </w:r>
      <w:r w:rsidR="008408B2" w:rsidRPr="0084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сельсовета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категории Унерского сельсовета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84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 за единицу объема древесины, кустарника и лианы зеленых насаждений, не отнесенных к лесным насаждениям, для расчета компенсационной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E45237" w:rsidRPr="00204E3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05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</w:t>
      </w:r>
      <w:r w:rsidR="00204E35" w:rsidRPr="0020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Ск.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bookmarkEnd w:id="1"/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</w:t>
      </w:r>
      <w:r w:rsidRPr="0020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</w:t>
      </w:r>
      <w:r w:rsidR="0005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Унерского</w:t>
      </w:r>
      <w:r w:rsidR="00204E35" w:rsidRPr="0020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204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204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</w:t>
      </w:r>
      <w:r w:rsidR="00F77985" w:rsidRPr="00204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</w:t>
      </w:r>
      <w:r w:rsidR="00CA54BA" w:rsidRPr="00204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УНЕРСКОГО</w:t>
      </w:r>
      <w:r w:rsidR="00204E35" w:rsidRPr="00204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лесотаксовый район</w:t>
      </w:r>
    </w:p>
    <w:p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лесотаксовый район</w:t>
      </w:r>
    </w:p>
    <w:p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лесотаксовый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лесотаксовый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крупная средняя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лесотаксовый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Породы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4E35" w:rsidRDefault="00204E35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Кустарники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66C86" w:rsidRPr="00266C86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Примечание:</w:t>
      </w:r>
    </w:p>
    <w:p w:rsidR="00E528CD" w:rsidRPr="00082595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лесотаксовый район – </w:t>
      </w:r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Балахтинский, 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Ермаковский, Идринский, Краснотуранский, Каратузский, Курагинский, Минусинский, Новоселовский, Ужурский, Шушенский районы края и г. Минусинск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 п. Солнечный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774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лесотаксовый район – </w:t>
      </w:r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Абанский, Дзержинский, Иланский, Ирбейский, Канский, </w:t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Нижнеингашский, Партизанский, Рыбинский, Саянский, Сухобузимский, Тасеевский районы края и г. Канск, г. Бородино, ЗАТО</w:t>
      </w:r>
      <w:r w:rsidR="0020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Зеленогорск.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лесотаксовый район –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Шарыповский,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Уярский районы края и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Ачинск, г. Боготол,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Дивногорск,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Красноярск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Назарово,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Сосновоборск,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Шарыпово, ЗАТО г. Железногорск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</w:t>
      </w:r>
      <w:r w:rsidR="0020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Кедровый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лесотаксовый район – </w:t>
      </w:r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Богучанский, Енисейский, Кежемский, Мотыгинский, Северо-Енисейский районы края и г. Енисейский, г. Лесосибирск.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лесотаксовый район – 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Таймырский</w:t>
      </w:r>
      <w:r w:rsid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Долгано-Ненецкий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Туруханский, Эвенкийский районы края и г. Игарка, г. Норильск.</w:t>
      </w:r>
    </w:p>
    <w:sectPr w:rsidR="00BE4937" w:rsidSect="002D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546" w:rsidRDefault="002A2546" w:rsidP="00E94EA3">
      <w:pPr>
        <w:spacing w:after="0" w:line="240" w:lineRule="auto"/>
      </w:pPr>
      <w:r>
        <w:separator/>
      </w:r>
    </w:p>
  </w:endnote>
  <w:endnote w:type="continuationSeparator" w:id="1">
    <w:p w:rsidR="002A2546" w:rsidRDefault="002A2546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546" w:rsidRDefault="002A2546" w:rsidP="00E94EA3">
      <w:pPr>
        <w:spacing w:after="0" w:line="240" w:lineRule="auto"/>
      </w:pPr>
      <w:r>
        <w:separator/>
      </w:r>
    </w:p>
  </w:footnote>
  <w:footnote w:type="continuationSeparator" w:id="1">
    <w:p w:rsidR="002A2546" w:rsidRDefault="002A2546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00DB"/>
    <w:rsid w:val="000534D3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9659E"/>
    <w:rsid w:val="000A427E"/>
    <w:rsid w:val="000A6DB5"/>
    <w:rsid w:val="000B02EA"/>
    <w:rsid w:val="000C1C1F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2A"/>
    <w:rsid w:val="00127E7C"/>
    <w:rsid w:val="0013154C"/>
    <w:rsid w:val="00133490"/>
    <w:rsid w:val="00134898"/>
    <w:rsid w:val="001362FD"/>
    <w:rsid w:val="00146ACB"/>
    <w:rsid w:val="0015006D"/>
    <w:rsid w:val="00154708"/>
    <w:rsid w:val="00161BCF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8F2"/>
    <w:rsid w:val="001D6F39"/>
    <w:rsid w:val="001D7B16"/>
    <w:rsid w:val="001E06D1"/>
    <w:rsid w:val="001F1719"/>
    <w:rsid w:val="001F2D50"/>
    <w:rsid w:val="001F7351"/>
    <w:rsid w:val="00202866"/>
    <w:rsid w:val="0020360C"/>
    <w:rsid w:val="00204E35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2546"/>
    <w:rsid w:val="002A651C"/>
    <w:rsid w:val="002B3084"/>
    <w:rsid w:val="002C58DD"/>
    <w:rsid w:val="002C6C1C"/>
    <w:rsid w:val="002C78CF"/>
    <w:rsid w:val="002D0C44"/>
    <w:rsid w:val="002D4D5C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379A"/>
    <w:rsid w:val="00334744"/>
    <w:rsid w:val="003419C5"/>
    <w:rsid w:val="00342908"/>
    <w:rsid w:val="00353551"/>
    <w:rsid w:val="003700E2"/>
    <w:rsid w:val="00374098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2C6D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375F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7F04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B3D62"/>
    <w:rsid w:val="005D096E"/>
    <w:rsid w:val="005D1D31"/>
    <w:rsid w:val="005D68C4"/>
    <w:rsid w:val="005D7D50"/>
    <w:rsid w:val="005E4452"/>
    <w:rsid w:val="005F19CC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5689D"/>
    <w:rsid w:val="006575B2"/>
    <w:rsid w:val="00660E2D"/>
    <w:rsid w:val="00662895"/>
    <w:rsid w:val="0066416C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11C62"/>
    <w:rsid w:val="00821E1A"/>
    <w:rsid w:val="008222E5"/>
    <w:rsid w:val="008309AA"/>
    <w:rsid w:val="008408B2"/>
    <w:rsid w:val="00840D77"/>
    <w:rsid w:val="00854E6A"/>
    <w:rsid w:val="00864973"/>
    <w:rsid w:val="00870AA4"/>
    <w:rsid w:val="00881980"/>
    <w:rsid w:val="00883EBF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913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3A9E"/>
    <w:rsid w:val="009266C5"/>
    <w:rsid w:val="00927B48"/>
    <w:rsid w:val="00927C68"/>
    <w:rsid w:val="00931F2B"/>
    <w:rsid w:val="00934D32"/>
    <w:rsid w:val="00935298"/>
    <w:rsid w:val="009373B5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A5536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369D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2546C"/>
    <w:rsid w:val="00B3133B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00DC"/>
    <w:rsid w:val="00CC359A"/>
    <w:rsid w:val="00CC54E7"/>
    <w:rsid w:val="00CD6051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23F7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1B6A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234"/>
    <w:rsid w:val="00F44A26"/>
    <w:rsid w:val="00F647D0"/>
    <w:rsid w:val="00F737A8"/>
    <w:rsid w:val="00F765E5"/>
    <w:rsid w:val="00F76A3C"/>
    <w:rsid w:val="00F77985"/>
    <w:rsid w:val="00F86200"/>
    <w:rsid w:val="00F86F3C"/>
    <w:rsid w:val="00F93B06"/>
    <w:rsid w:val="00F9571C"/>
    <w:rsid w:val="00FA1755"/>
    <w:rsid w:val="00FA2584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character" w:customStyle="1" w:styleId="5">
    <w:name w:val="Основной текст (5)_"/>
    <w:basedOn w:val="a0"/>
    <w:link w:val="51"/>
    <w:locked/>
    <w:rsid w:val="000500DB"/>
    <w:rPr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0500DB"/>
    <w:pPr>
      <w:widowControl w:val="0"/>
      <w:shd w:val="clear" w:color="auto" w:fill="FFFFFF"/>
      <w:spacing w:after="0" w:line="320" w:lineRule="exact"/>
      <w:jc w:val="both"/>
    </w:pPr>
    <w:rPr>
      <w:i/>
      <w:iCs/>
      <w:sz w:val="28"/>
      <w:szCs w:val="28"/>
    </w:rPr>
  </w:style>
  <w:style w:type="character" w:customStyle="1" w:styleId="52">
    <w:name w:val="Основной текст (5)2"/>
    <w:basedOn w:val="5"/>
    <w:rsid w:val="000500D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0">
    <w:name w:val="Основной текст (5) + Не курсив1"/>
    <w:basedOn w:val="5"/>
    <w:rsid w:val="000500D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E16B-5884-4423-B789-C552B1DC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5960</Words>
  <Characters>33976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266</cp:revision>
  <cp:lastPrinted>2023-02-27T03:27:00Z</cp:lastPrinted>
  <dcterms:created xsi:type="dcterms:W3CDTF">2022-11-29T09:51:00Z</dcterms:created>
  <dcterms:modified xsi:type="dcterms:W3CDTF">2023-06-09T06:25:00Z</dcterms:modified>
</cp:coreProperties>
</file>